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5A" w:rsidRDefault="00BD345A" w:rsidP="003B3566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7525C6" w:rsidRDefault="00057A98" w:rsidP="003B3566"/>
    <w:p w:rsidR="00057A98" w:rsidRPr="007525C6" w:rsidRDefault="00057A98" w:rsidP="003B3566">
      <w:pPr>
        <w:pStyle w:val="ac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241BB2" w:rsidRDefault="00241BB2" w:rsidP="003B3566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525C6" w:rsidRDefault="00057A98" w:rsidP="003B3566">
      <w:pPr>
        <w:jc w:val="center"/>
        <w:rPr>
          <w:b/>
          <w:bCs/>
        </w:rPr>
      </w:pPr>
    </w:p>
    <w:p w:rsidR="00057A98" w:rsidRPr="007525C6" w:rsidRDefault="00057A98" w:rsidP="003B3566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E372F5">
        <w:rPr>
          <w:b/>
          <w:bCs/>
        </w:rPr>
        <w:t xml:space="preserve">5. </w:t>
      </w:r>
      <w:r w:rsidR="00832EC1">
        <w:rPr>
          <w:b/>
          <w:szCs w:val="28"/>
        </w:rPr>
        <w:t>ЗАКОНОДАТЕЛЬСТВО РОССИИ О ПРОТИВОДЕЙСТВИИ КОРРУПЦИИ</w:t>
      </w:r>
      <w:r w:rsidR="00832EC1" w:rsidRPr="007525C6">
        <w:rPr>
          <w:b/>
        </w:rPr>
        <w:t xml:space="preserve"> </w:t>
      </w:r>
      <w:r w:rsidRPr="007525C6">
        <w:rPr>
          <w:b/>
        </w:rPr>
        <w:t>(</w:t>
      </w:r>
      <w:r w:rsidR="000B6BE0">
        <w:rPr>
          <w:b/>
        </w:rPr>
        <w:t>9</w:t>
      </w:r>
      <w:r w:rsidRPr="007525C6">
        <w:rPr>
          <w:b/>
        </w:rPr>
        <w:t xml:space="preserve"> с.)</w:t>
      </w:r>
    </w:p>
    <w:p w:rsidR="00057A98" w:rsidRPr="007525C6" w:rsidRDefault="00057A98" w:rsidP="003B3566">
      <w:pPr>
        <w:jc w:val="center"/>
        <w:rPr>
          <w:b/>
          <w:caps/>
        </w:rPr>
      </w:pPr>
    </w:p>
    <w:p w:rsidR="00057A98" w:rsidRPr="007525C6" w:rsidRDefault="00057A98" w:rsidP="003B3566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E61665" w:rsidRPr="00E61665">
        <w:rPr>
          <w:b/>
        </w:rPr>
        <w:t>Пра</w:t>
      </w:r>
      <w:r w:rsidR="00E61665">
        <w:rPr>
          <w:b/>
        </w:rPr>
        <w:t>во</w:t>
      </w:r>
      <w:r w:rsidR="00E61665" w:rsidRPr="00E61665">
        <w:rPr>
          <w:b/>
        </w:rPr>
        <w:t>вые основы противодействия коррупции</w:t>
      </w:r>
      <w:r w:rsidR="00E61665">
        <w:rPr>
          <w:b/>
        </w:rPr>
        <w:t xml:space="preserve"> в РФ</w:t>
      </w:r>
      <w:r w:rsidR="00CA7072" w:rsidRPr="007525C6">
        <w:rPr>
          <w:b/>
        </w:rPr>
        <w:t>.</w:t>
      </w:r>
    </w:p>
    <w:p w:rsidR="00057A98" w:rsidRPr="00DB4A3E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DB4A3E"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79753A" w:rsidRPr="007525C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 w:rsidR="005A5A49">
        <w:rPr>
          <w:b/>
        </w:rPr>
        <w:t>Отве</w:t>
      </w:r>
      <w:r w:rsidR="00406054">
        <w:rPr>
          <w:b/>
        </w:rPr>
        <w:t>т</w:t>
      </w:r>
      <w:r w:rsidR="005A5A49">
        <w:rPr>
          <w:b/>
        </w:rPr>
        <w:t xml:space="preserve">ственность за </w:t>
      </w:r>
      <w:r w:rsidR="00406054">
        <w:rPr>
          <w:b/>
        </w:rPr>
        <w:t>коррупционные правонарушения</w:t>
      </w:r>
      <w:r w:rsidR="00E40F92" w:rsidRPr="007525C6">
        <w:rPr>
          <w:b/>
        </w:rPr>
        <w:t>.</w:t>
      </w:r>
    </w:p>
    <w:p w:rsidR="00057A98" w:rsidRPr="007525C6" w:rsidRDefault="00057A98" w:rsidP="006B2EE4">
      <w:pPr>
        <w:ind w:firstLine="709"/>
        <w:jc w:val="center"/>
      </w:pPr>
    </w:p>
    <w:p w:rsidR="00CA7072" w:rsidRPr="00E61665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616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Пра</w:t>
      </w:r>
      <w:r w:rsidR="00E61665">
        <w:rPr>
          <w:rFonts w:ascii="Times New Roman" w:hAnsi="Times New Roman" w:cs="Times New Roman"/>
          <w:b/>
          <w:sz w:val="24"/>
          <w:szCs w:val="24"/>
        </w:rPr>
        <w:t>во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вые основы противодействия коррупции</w:t>
      </w:r>
      <w:r w:rsidR="00E61665">
        <w:rPr>
          <w:rFonts w:ascii="Times New Roman" w:hAnsi="Times New Roman" w:cs="Times New Roman"/>
          <w:b/>
          <w:sz w:val="24"/>
          <w:szCs w:val="24"/>
        </w:rPr>
        <w:t xml:space="preserve"> в РФ</w:t>
      </w:r>
    </w:p>
    <w:p w:rsidR="000505A9" w:rsidRDefault="00832EC1" w:rsidP="000505A9">
      <w:pPr>
        <w:pStyle w:val="ConsPlusNormal"/>
        <w:ind w:firstLine="709"/>
        <w:jc w:val="both"/>
      </w:pPr>
      <w:r w:rsidRPr="001D7187">
        <w:t xml:space="preserve">Правовую основу противодействия коррупции </w:t>
      </w:r>
      <w:r>
        <w:t xml:space="preserve">в </w:t>
      </w:r>
      <w:r w:rsidRPr="001D7187">
        <w:t>Российской Федерации составляют</w:t>
      </w:r>
      <w:r>
        <w:t>: ее</w:t>
      </w:r>
      <w:r w:rsidRPr="001D7187">
        <w:t xml:space="preserve"> Конституция,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r w:rsidRPr="00C15071">
        <w:rPr>
          <w:b/>
        </w:rPr>
        <w:t xml:space="preserve">Федеральный закон </w:t>
      </w:r>
      <w:r w:rsidR="0072709E" w:rsidRPr="00C15071">
        <w:rPr>
          <w:b/>
        </w:rPr>
        <w:t>от 25.12.2008 № 273-ФЗ «О противодействии коррупции»</w:t>
      </w:r>
      <w:r w:rsidR="0072709E">
        <w:t xml:space="preserve"> </w:t>
      </w:r>
      <w:r w:rsidRPr="001D7187">
        <w:t xml:space="preserve">и другие федеральные законы, нормативные правовые акты Президента </w:t>
      </w:r>
      <w:r w:rsidR="0072709E">
        <w:t>РФ</w:t>
      </w:r>
      <w:r w:rsidRPr="001D7187">
        <w:t xml:space="preserve">, а также нормативные правовые акты Правительства </w:t>
      </w:r>
      <w:r w:rsidR="0072709E">
        <w:t>РФ</w:t>
      </w:r>
      <w:r w:rsidRPr="001D7187">
        <w:t xml:space="preserve">, нормативные правовые акты иных федеральных органов государственной власти, </w:t>
      </w:r>
      <w:r w:rsidRPr="009D6986">
        <w:t xml:space="preserve">нормативные правовые акты органов государственной власти субъектов </w:t>
      </w:r>
      <w:r w:rsidR="009805F7" w:rsidRPr="009D6986">
        <w:t>РФ</w:t>
      </w:r>
      <w:r w:rsidRPr="009D6986">
        <w:t xml:space="preserve"> и муниципальные правовые акты.</w:t>
      </w:r>
    </w:p>
    <w:p w:rsidR="00C6265B" w:rsidRDefault="00832D74" w:rsidP="002F5C11">
      <w:pPr>
        <w:pStyle w:val="ConsPlusNormal"/>
        <w:ind w:firstLine="709"/>
        <w:jc w:val="both"/>
      </w:pPr>
      <w:r w:rsidRPr="002F5C11">
        <w:t xml:space="preserve">Конкретно, кроме закона № 273-ФЗ, </w:t>
      </w:r>
      <w:r w:rsidR="00ED04DC" w:rsidRPr="002F5C11">
        <w:t>можно назвать</w:t>
      </w:r>
      <w:r w:rsidR="009D6986" w:rsidRPr="002F5C11">
        <w:t xml:space="preserve">: </w:t>
      </w:r>
    </w:p>
    <w:p w:rsidR="00C6265B" w:rsidRDefault="009D698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 17.07.2009 № 172-ФЗ</w:t>
      </w:r>
      <w:r w:rsidR="001D7B9A" w:rsidRPr="002F5C11">
        <w:t xml:space="preserve"> </w:t>
      </w:r>
      <w:r w:rsidRPr="002F5C11">
        <w:t>«Об антикоррупционной экспертизе нормативных правовых актов и проектов нормативных правовых актов»</w:t>
      </w:r>
      <w:r w:rsidR="00C6265B">
        <w:t xml:space="preserve"> и</w:t>
      </w:r>
      <w:r w:rsidR="000505A9" w:rsidRPr="002F5C11">
        <w:t xml:space="preserve"> одноименное Постановление Правительства Российской Федерации от 26.02.2010 № 96</w:t>
      </w:r>
      <w:r w:rsidR="003D6F8E" w:rsidRPr="002F5C11">
        <w:t xml:space="preserve">, </w:t>
      </w:r>
    </w:p>
    <w:p w:rsidR="00C6265B" w:rsidRDefault="003D6F8E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</w:t>
      </w:r>
      <w:r w:rsidR="00510BAD">
        <w:t xml:space="preserve"> </w:t>
      </w:r>
      <w:r w:rsidRPr="002F5C11">
        <w:t>03.12.2012 № 230-ФЗ «О контроле за соответствием расходов лиц, замещающих государственные должности, и иных лиц их доходам»</w:t>
      </w:r>
      <w:r w:rsidR="008058E7" w:rsidRPr="002F5C11">
        <w:t xml:space="preserve">, </w:t>
      </w:r>
    </w:p>
    <w:p w:rsidR="00C6265B" w:rsidRDefault="008058E7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 xml:space="preserve">Федеральный закон от 7 мая 2013 г. </w:t>
      </w:r>
      <w:r w:rsidR="00C6265B" w:rsidRPr="002F5C11">
        <w:t xml:space="preserve">№ </w:t>
      </w:r>
      <w:r w:rsidRPr="002F5C11">
        <w:rPr>
          <w:bCs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44CB6" w:rsidRPr="002F5C11">
        <w:rPr>
          <w:bCs/>
          <w:shd w:val="clear" w:color="auto" w:fill="FFFFFF"/>
        </w:rPr>
        <w:t xml:space="preserve">, </w:t>
      </w:r>
    </w:p>
    <w:p w:rsidR="00C6265B" w:rsidRDefault="00A44CB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>Федеральный за</w:t>
      </w:r>
      <w:r w:rsidR="00F6712D" w:rsidRPr="002F5C11">
        <w:rPr>
          <w:bCs/>
          <w:shd w:val="clear" w:color="auto" w:fill="FFFFFF"/>
        </w:rPr>
        <w:t xml:space="preserve">кон от 27 июля 2004 г. </w:t>
      </w:r>
      <w:r w:rsidR="00C6265B" w:rsidRPr="002F5C11">
        <w:t xml:space="preserve">№ </w:t>
      </w:r>
      <w:r w:rsidR="00F6712D" w:rsidRPr="002F5C11">
        <w:rPr>
          <w:bCs/>
          <w:shd w:val="clear" w:color="auto" w:fill="FFFFFF"/>
        </w:rPr>
        <w:t>79-ФЗ «</w:t>
      </w:r>
      <w:r w:rsidRPr="002F5C11">
        <w:rPr>
          <w:bCs/>
          <w:shd w:val="clear" w:color="auto" w:fill="FFFFFF"/>
        </w:rPr>
        <w:t>О государственной гражданской службе Российской Федерации</w:t>
      </w:r>
      <w:r w:rsidR="00F6712D" w:rsidRPr="002F5C11">
        <w:rPr>
          <w:bCs/>
          <w:shd w:val="clear" w:color="auto" w:fill="FFFFFF"/>
        </w:rPr>
        <w:t xml:space="preserve">», </w:t>
      </w:r>
    </w:p>
    <w:p w:rsidR="001A6D05" w:rsidRPr="001A6D05" w:rsidRDefault="002F5C11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2F5C11">
        <w:rPr>
          <w:bCs/>
          <w:kern w:val="36"/>
        </w:rPr>
        <w:t xml:space="preserve">Федеральный закон от 02.03.2007 </w:t>
      </w:r>
      <w:r w:rsidR="00C6265B" w:rsidRPr="002F5C11">
        <w:t xml:space="preserve">№ </w:t>
      </w:r>
      <w:r w:rsidRPr="002F5C11">
        <w:rPr>
          <w:bCs/>
          <w:kern w:val="36"/>
        </w:rPr>
        <w:t>25-ФЗ «О муниципальной службе в Российской Федерации</w:t>
      </w:r>
      <w:r w:rsidRPr="001A6D05">
        <w:rPr>
          <w:bCs/>
          <w:kern w:val="36"/>
        </w:rPr>
        <w:t>»</w:t>
      </w:r>
      <w:r w:rsidR="001A6D05" w:rsidRPr="001A6D05">
        <w:rPr>
          <w:bCs/>
          <w:kern w:val="36"/>
        </w:rPr>
        <w:t>,</w:t>
      </w:r>
    </w:p>
    <w:p w:rsidR="002F5C11" w:rsidRPr="001A6D05" w:rsidRDefault="001A6D05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1A6D05">
        <w:rPr>
          <w:bCs/>
          <w:color w:val="000000"/>
          <w:shd w:val="clear" w:color="auto" w:fill="FFFFFF"/>
        </w:rPr>
        <w:t xml:space="preserve">Федеральный закон от 17 января 1992 г. </w:t>
      </w:r>
      <w:r w:rsidR="007E6368" w:rsidRPr="002F5C11">
        <w:t xml:space="preserve">№ </w:t>
      </w:r>
      <w:r w:rsidRPr="001A6D05">
        <w:rPr>
          <w:bCs/>
          <w:color w:val="000000"/>
          <w:shd w:val="clear" w:color="auto" w:fill="FFFFFF"/>
        </w:rPr>
        <w:t>2202-I «О прокуратуре Российской Федерации»</w:t>
      </w:r>
      <w:r w:rsidRPr="001A6D05">
        <w:rPr>
          <w:bCs/>
          <w:color w:val="000000"/>
        </w:rPr>
        <w:t xml:space="preserve"> </w:t>
      </w:r>
      <w:r w:rsidR="00A27AA5" w:rsidRPr="001A6D05">
        <w:rPr>
          <w:bCs/>
          <w:kern w:val="36"/>
        </w:rPr>
        <w:t>и др.</w:t>
      </w:r>
    </w:p>
    <w:p w:rsidR="00832EC1" w:rsidRPr="00A44CB6" w:rsidRDefault="007A1E5C" w:rsidP="00832EC1">
      <w:pPr>
        <w:pStyle w:val="ConsPlusNormal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t xml:space="preserve">Закон о противодействии коррупции начал разрабатываться с 1992 г. и был принят </w:t>
      </w:r>
      <w:r w:rsidR="00D3282C">
        <w:rPr>
          <w:bCs/>
          <w:shd w:val="clear" w:color="auto" w:fill="FFFFFF"/>
        </w:rPr>
        <w:t xml:space="preserve">через 16 лет, </w:t>
      </w:r>
      <w:r>
        <w:rPr>
          <w:bCs/>
          <w:shd w:val="clear" w:color="auto" w:fill="FFFFFF"/>
        </w:rPr>
        <w:t>в 2008 г. В соотве</w:t>
      </w:r>
      <w:r w:rsidR="00325A1C">
        <w:rPr>
          <w:bCs/>
          <w:shd w:val="clear" w:color="auto" w:fill="FFFFFF"/>
        </w:rPr>
        <w:t>т</w:t>
      </w:r>
      <w:r>
        <w:rPr>
          <w:bCs/>
          <w:shd w:val="clear" w:color="auto" w:fill="FFFFFF"/>
        </w:rPr>
        <w:t xml:space="preserve">ствии с ним, </w:t>
      </w:r>
      <w:r w:rsidR="00832EC1" w:rsidRPr="000206C8">
        <w:rPr>
          <w:b/>
        </w:rPr>
        <w:t>коррупция</w:t>
      </w:r>
      <w:r w:rsidR="00325A1C">
        <w:t xml:space="preserve"> – это</w:t>
      </w:r>
      <w:r w:rsidR="00832EC1" w:rsidRPr="001D7187">
        <w:t>:</w:t>
      </w:r>
    </w:p>
    <w:p w:rsidR="00832EC1" w:rsidRPr="001D7187" w:rsidRDefault="00832EC1" w:rsidP="00832EC1">
      <w:pPr>
        <w:pStyle w:val="ConsPlusNormal"/>
        <w:ind w:firstLine="709"/>
        <w:jc w:val="both"/>
      </w:pPr>
      <w:bookmarkStart w:id="1" w:name="Par33"/>
      <w:bookmarkEnd w:id="1"/>
      <w:r w:rsidRPr="001D7187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</w:t>
      </w:r>
      <w:r w:rsidRPr="005F3614">
        <w:rPr>
          <w:i/>
        </w:rPr>
        <w:t>незаконное использование физическим лицом своего должностного положения</w:t>
      </w:r>
      <w:r w:rsidRPr="001D7187"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б) совершение </w:t>
      </w:r>
      <w:r w:rsidR="00A54D7D">
        <w:t xml:space="preserve">тех же </w:t>
      </w:r>
      <w:r w:rsidRPr="001D7187">
        <w:t>деяний от имени ил</w:t>
      </w:r>
      <w:r w:rsidR="00A54D7D">
        <w:t>и в интересах юридического лица.</w:t>
      </w:r>
    </w:p>
    <w:p w:rsidR="007E6368" w:rsidRDefault="007E6368" w:rsidP="00832EC1">
      <w:pPr>
        <w:pStyle w:val="ConsPlusNormal"/>
        <w:ind w:firstLine="709"/>
        <w:jc w:val="both"/>
      </w:pPr>
    </w:p>
    <w:p w:rsidR="00832EC1" w:rsidRPr="001D7187" w:rsidRDefault="00A54D7D" w:rsidP="00832EC1">
      <w:pPr>
        <w:pStyle w:val="ConsPlusNormal"/>
        <w:ind w:firstLine="709"/>
        <w:jc w:val="both"/>
      </w:pPr>
      <w:r>
        <w:t xml:space="preserve">Закон определяет </w:t>
      </w:r>
      <w:r w:rsidRPr="007E6368">
        <w:rPr>
          <w:u w:val="single"/>
        </w:rPr>
        <w:t>систему органов власти</w:t>
      </w:r>
      <w:r>
        <w:t xml:space="preserve">, </w:t>
      </w:r>
      <w:r w:rsidR="001A6D05">
        <w:t xml:space="preserve">на которых, в первую очередь, возложена ответственность борьбы с коррупцией. Так, </w:t>
      </w:r>
      <w:r w:rsidR="00832EC1" w:rsidRPr="001D7187">
        <w:t>Президент Российской Федерации: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1) определяет основные направления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832EC1" w:rsidRPr="00E03A04" w:rsidRDefault="00832EC1" w:rsidP="00832EC1">
      <w:pPr>
        <w:pStyle w:val="ConsPlusNormal"/>
        <w:ind w:firstLine="709"/>
        <w:jc w:val="both"/>
      </w:pPr>
      <w:r w:rsidRPr="001D7187">
        <w:t xml:space="preserve">Счетная палата Российской Федерации в пределах своих полномочий обеспечивает </w:t>
      </w:r>
      <w:r w:rsidRPr="00E03A04">
        <w:t xml:space="preserve">противодействие коррупции в соответствии с Федеральным </w:t>
      </w:r>
      <w:r w:rsidR="007E6368" w:rsidRPr="00E03A04">
        <w:t>законом от 11 января 1995 года №</w:t>
      </w:r>
      <w:r w:rsidR="00510BAD" w:rsidRPr="00E03A04">
        <w:t xml:space="preserve"> </w:t>
      </w:r>
      <w:r w:rsidR="007E6368" w:rsidRPr="00E03A04">
        <w:t>4-ФЗ «</w:t>
      </w:r>
      <w:r w:rsidRPr="00E03A04">
        <w:t>О Счет</w:t>
      </w:r>
      <w:r w:rsidR="007E6368" w:rsidRPr="00E03A04">
        <w:t>ной палате Российской Федерации»</w:t>
      </w:r>
      <w:r w:rsidRPr="00E03A04">
        <w:t>.</w:t>
      </w:r>
    </w:p>
    <w:p w:rsidR="00832EC1" w:rsidRPr="00E03A04" w:rsidRDefault="00E03A04" w:rsidP="00E03A04">
      <w:pPr>
        <w:tabs>
          <w:tab w:val="left" w:pos="1122"/>
        </w:tabs>
        <w:ind w:firstLine="709"/>
      </w:pPr>
      <w:r w:rsidRPr="00E03A04">
        <w:tab/>
      </w:r>
    </w:p>
    <w:p w:rsidR="00DB4A3E" w:rsidRDefault="00E03A04" w:rsidP="00DB4A3E">
      <w:pPr>
        <w:tabs>
          <w:tab w:val="left" w:pos="1760"/>
        </w:tabs>
        <w:ind w:firstLine="709"/>
        <w:jc w:val="both"/>
      </w:pPr>
      <w:r>
        <w:t xml:space="preserve">На основании </w:t>
      </w:r>
      <w:r w:rsidRPr="0022661B">
        <w:rPr>
          <w:u w:val="single"/>
        </w:rPr>
        <w:t>Национальной страт</w:t>
      </w:r>
      <w:r w:rsidR="0022661B" w:rsidRPr="0022661B">
        <w:rPr>
          <w:u w:val="single"/>
        </w:rPr>
        <w:t>егии противодействия коррупции</w:t>
      </w:r>
      <w:r w:rsidR="0022661B">
        <w:t xml:space="preserve"> принимаются  национальные планы</w:t>
      </w:r>
      <w:r w:rsidRPr="00E03A04">
        <w:t xml:space="preserve"> противодействия коррупции</w:t>
      </w:r>
      <w:r w:rsidR="0022661B">
        <w:t>.</w:t>
      </w:r>
      <w:r w:rsidRPr="00E03A04">
        <w:t xml:space="preserve"> </w:t>
      </w:r>
      <w:r w:rsidR="00E84DDF" w:rsidRPr="0022661B">
        <w:rPr>
          <w:bCs/>
          <w:u w:val="single"/>
          <w:shd w:val="clear" w:color="auto" w:fill="FFFFFF"/>
        </w:rPr>
        <w:t>Национальный план противодействия коррупции</w:t>
      </w:r>
      <w:r w:rsidR="00E84DDF" w:rsidRPr="00E03A04">
        <w:rPr>
          <w:shd w:val="clear" w:color="auto" w:fill="FFFFFF"/>
        </w:rPr>
        <w:t xml:space="preserve"> – системный документ программного характера, направленный на борьбу с коррупцией и её предупреждение, утверждаемый</w:t>
      </w:r>
      <w:r w:rsidR="005B5336" w:rsidRPr="00E03A04">
        <w:rPr>
          <w:shd w:val="clear" w:color="auto" w:fill="FFFFFF"/>
        </w:rPr>
        <w:t xml:space="preserve"> указом </w:t>
      </w:r>
      <w:hyperlink r:id="rId7" w:tooltip="Президент РФ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Президента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 xml:space="preserve"> РФ</w:t>
        </w:r>
      </w:hyperlink>
      <w:r w:rsidR="005B5336" w:rsidRPr="00E03A04">
        <w:rPr>
          <w:shd w:val="clear" w:color="auto" w:fill="FFFFFF"/>
        </w:rPr>
        <w:t xml:space="preserve"> </w:t>
      </w:r>
      <w:r w:rsidR="00E84DDF" w:rsidRPr="00E03A04">
        <w:rPr>
          <w:shd w:val="clear" w:color="auto" w:fill="FFFFFF"/>
        </w:rPr>
        <w:t>сроком на два года. Впервые утверждён</w:t>
      </w:r>
      <w:r w:rsidR="005B5336" w:rsidRPr="00E03A04">
        <w:t xml:space="preserve"> </w:t>
      </w:r>
      <w:hyperlink r:id="rId8" w:tooltip="Медведев, Дмитрий Анатольевич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Д.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>А. Медведевым</w:t>
        </w:r>
      </w:hyperlink>
      <w:r w:rsidR="00E84DDF" w:rsidRPr="00E03A04">
        <w:rPr>
          <w:shd w:val="clear" w:color="auto" w:fill="FFFFFF"/>
        </w:rPr>
        <w:t> </w:t>
      </w:r>
      <w:r w:rsidR="005B5336" w:rsidRPr="00E03A04">
        <w:rPr>
          <w:shd w:val="clear" w:color="auto" w:fill="FFFFFF"/>
        </w:rPr>
        <w:t xml:space="preserve">в </w:t>
      </w:r>
      <w:r w:rsidR="00474A25" w:rsidRPr="00E03A04">
        <w:rPr>
          <w:shd w:val="clear" w:color="auto" w:fill="FFFFFF"/>
        </w:rPr>
        <w:t>2008 г., в</w:t>
      </w:r>
      <w:r w:rsidR="00E84DDF" w:rsidRPr="00E03A04">
        <w:rPr>
          <w:shd w:val="clear" w:color="auto" w:fill="FFFFFF"/>
        </w:rPr>
        <w:t xml:space="preserve">ыпускался </w:t>
      </w:r>
      <w:r w:rsidR="005B5336" w:rsidRPr="00E03A04">
        <w:rPr>
          <w:shd w:val="clear" w:color="auto" w:fill="FFFFFF"/>
        </w:rPr>
        <w:t>также в</w:t>
      </w:r>
      <w:r w:rsidR="00E84DDF" w:rsidRPr="00E03A04">
        <w:rPr>
          <w:shd w:val="clear" w:color="auto" w:fill="FFFFFF"/>
        </w:rPr>
        <w:t xml:space="preserve"> 2010, 2012, 2014</w:t>
      </w:r>
      <w:r w:rsidR="00341CFF">
        <w:rPr>
          <w:shd w:val="clear" w:color="auto" w:fill="FFFFFF"/>
        </w:rPr>
        <w:t>, 2016</w:t>
      </w:r>
      <w:r w:rsidR="00E84DDF" w:rsidRPr="00E03A04">
        <w:rPr>
          <w:shd w:val="clear" w:color="auto" w:fill="FFFFFF"/>
        </w:rPr>
        <w:t xml:space="preserve"> и 201</w:t>
      </w:r>
      <w:r w:rsidR="00341CFF">
        <w:rPr>
          <w:shd w:val="clear" w:color="auto" w:fill="FFFFFF"/>
        </w:rPr>
        <w:t>8</w:t>
      </w:r>
      <w:r w:rsidR="00E84DDF" w:rsidRPr="00E03A04">
        <w:rPr>
          <w:shd w:val="clear" w:color="auto" w:fill="FFFFFF"/>
        </w:rPr>
        <w:t xml:space="preserve"> </w:t>
      </w:r>
      <w:r w:rsidR="005B5336" w:rsidRPr="00E03A04">
        <w:rPr>
          <w:shd w:val="clear" w:color="auto" w:fill="FFFFFF"/>
        </w:rPr>
        <w:t>г</w:t>
      </w:r>
      <w:r w:rsidR="004C6009" w:rsidRPr="00E03A04">
        <w:rPr>
          <w:shd w:val="clear" w:color="auto" w:fill="FFFFFF"/>
        </w:rPr>
        <w:t xml:space="preserve">г. Действующим </w:t>
      </w:r>
      <w:r w:rsidR="00E84DDF" w:rsidRPr="00E03A04">
        <w:rPr>
          <w:shd w:val="clear" w:color="auto" w:fill="FFFFFF"/>
        </w:rPr>
        <w:t>является Национальный план п</w:t>
      </w:r>
      <w:r w:rsidR="00341CFF">
        <w:rPr>
          <w:shd w:val="clear" w:color="auto" w:fill="FFFFFF"/>
        </w:rPr>
        <w:t>ротиводействия коррупции на 2021-2024</w:t>
      </w:r>
      <w:r w:rsidR="00E84DDF" w:rsidRPr="00E03A04">
        <w:rPr>
          <w:shd w:val="clear" w:color="auto" w:fill="FFFFFF"/>
        </w:rPr>
        <w:t xml:space="preserve"> годы</w:t>
      </w:r>
      <w:r w:rsidR="00E84DDF" w:rsidRPr="00E03A04">
        <w:t xml:space="preserve"> </w:t>
      </w:r>
      <w:r w:rsidR="00474A25" w:rsidRPr="00E03A04">
        <w:t>в редакции Указа</w:t>
      </w:r>
      <w:r w:rsidR="00474A25">
        <w:t xml:space="preserve"> </w:t>
      </w:r>
      <w:r w:rsidR="00341CFF">
        <w:t>от 16.08.2021 № 4</w:t>
      </w:r>
      <w:r w:rsidR="00E84DDF" w:rsidRPr="00275AAF">
        <w:t>78</w:t>
      </w:r>
      <w:r w:rsidR="00134E2F">
        <w:t>. Его разделы</w:t>
      </w:r>
      <w:r w:rsidR="00DB4A3E" w:rsidRPr="00275AAF">
        <w:t>: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I. 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II. Повышение эффективности мер по предотвращению и урегулированию конфликта интересов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III. 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IV. Совершенствование правового регулирования ответственности за несоблюдение антикоррупционных стандартов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V. Применение мер административного, уголовного и уголовно-процессуального воздействия и уголовного преследования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VI. Обеспечение защиты информации ограниченного доступа, полученной при осуществлении деятельности в области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VII. Совершенствование правового регулирования в части, касающейся ограничений, налагаемых на граждан после их увольнения с государственной (муниципальной) службы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VIII. Реализация мер по противодействию коррупции в организациях, осуществляющих деятельность в частном секторе экономики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lastRenderedPageBreak/>
        <w:t>IX. Совершенствование правовых и организационных основ противодействия коррупции в субъектах Российской Федерации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X. 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XI. 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XII. 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XIII.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XIV. Повышение эффективности международного сотрудничества Российской Федерации в области противодействия коррупции. Укрепление международного авторитета России</w:t>
      </w:r>
    </w:p>
    <w:p w:rsidR="00AE181F" w:rsidRPr="00AE181F" w:rsidRDefault="00AE181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XV. Реализация мер по систематизации и актуализации нормативно-правовой базы в области противодействия коррупции</w:t>
      </w:r>
    </w:p>
    <w:p w:rsidR="00AE181F" w:rsidRPr="00AE181F" w:rsidRDefault="00AE181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XVI. 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</w:t>
      </w:r>
    </w:p>
    <w:p w:rsidR="00DB4A3E" w:rsidRPr="001D7187" w:rsidRDefault="00DB4A3E" w:rsidP="00DB4A3E">
      <w:pPr>
        <w:pStyle w:val="ConsPlusNormal"/>
        <w:ind w:firstLine="709"/>
        <w:jc w:val="both"/>
      </w:pPr>
      <w:r w:rsidRPr="001D7187">
        <w:t xml:space="preserve">Генеральной прокуратуре </w:t>
      </w:r>
      <w:r>
        <w:t>РФ</w:t>
      </w:r>
      <w:r w:rsidRPr="001D7187">
        <w:t xml:space="preserve"> </w:t>
      </w:r>
      <w:r>
        <w:t>Национальном планом</w:t>
      </w:r>
      <w:r w:rsidRPr="001D7187">
        <w:t xml:space="preserve"> </w:t>
      </w:r>
      <w:r>
        <w:t xml:space="preserve">поручено </w:t>
      </w:r>
      <w:r w:rsidRPr="001D7187">
        <w:t>ежегодно, до 1</w:t>
      </w:r>
      <w:r w:rsidR="00AE181F">
        <w:t>5</w:t>
      </w:r>
      <w:r w:rsidRPr="001D7187">
        <w:t xml:space="preserve"> марта, информировать председателя президиума </w:t>
      </w:r>
      <w:r w:rsidRPr="00AE181F">
        <w:rPr>
          <w:b/>
        </w:rPr>
        <w:t>Совета при Президенте РФ по противодействию коррупции</w:t>
      </w:r>
      <w:r w:rsidRPr="001D7187">
        <w:t xml:space="preserve">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16FE7" w:rsidRDefault="00616FE7" w:rsidP="00D527BA">
      <w:pPr>
        <w:pStyle w:val="ConsPlusNormal"/>
        <w:ind w:firstLine="709"/>
        <w:jc w:val="both"/>
      </w:pPr>
    </w:p>
    <w:p w:rsidR="00D527BA" w:rsidRPr="007C65CA" w:rsidRDefault="0005339D" w:rsidP="00D527BA">
      <w:pPr>
        <w:pStyle w:val="ConsPlusNormal"/>
        <w:ind w:firstLine="709"/>
        <w:jc w:val="both"/>
      </w:pPr>
      <w:r w:rsidRPr="007C65CA">
        <w:t xml:space="preserve">В 2010 г. Правительство РФ приняло Постановление </w:t>
      </w:r>
      <w:r w:rsidR="00D527BA" w:rsidRPr="007C65CA">
        <w:t>«</w:t>
      </w:r>
      <w:r w:rsidRPr="007C65CA">
        <w:rPr>
          <w:spacing w:val="2"/>
        </w:rPr>
        <w:t>Об антикоррупционной экспертизе нормативных правовых актов и проектов нормативных правовых актов</w:t>
      </w:r>
      <w:r w:rsidR="00D527BA" w:rsidRPr="007C65CA">
        <w:rPr>
          <w:spacing w:val="2"/>
        </w:rPr>
        <w:t xml:space="preserve">». В соответствии с ним, </w:t>
      </w:r>
      <w:r w:rsidR="00D527BA" w:rsidRPr="00CC6C8C">
        <w:rPr>
          <w:b/>
          <w:spacing w:val="2"/>
        </w:rPr>
        <w:t>коррупциогенными факторами</w:t>
      </w:r>
      <w:r w:rsidR="00D527BA" w:rsidRPr="007C65CA">
        <w:rPr>
          <w:spacing w:val="2"/>
        </w:rPr>
        <w:t>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C65CA" w:rsidRPr="007C65CA" w:rsidRDefault="00D527BA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широта дискреционных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определение компетенции по формуле "вправе"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выборочное изменение объема прав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г) чрезмерная свобода подзаконного нормотворчества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д) принятие нормативного правового акта за пределами компетенции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lastRenderedPageBreak/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установление общеобязательных правил поведения в подзаконном акте в условиях отсутствия закона;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ж) отсутствие или неполнота административных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з) отказ от конкурсных (аукционных)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закрепление административного порядк</w:t>
      </w:r>
      <w:r w:rsidR="007C65CA" w:rsidRPr="007C65CA">
        <w:rPr>
          <w:spacing w:val="2"/>
        </w:rPr>
        <w:t>а предоставления права (блага)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и) нормативные коллизии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>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наличие завышенных требований к лицу, предъявляемых для реализации принадлежащего ему права, </w:t>
      </w:r>
      <w:r w:rsidR="00CC6C8C">
        <w:rPr>
          <w:spacing w:val="2"/>
        </w:rPr>
        <w:t>–</w:t>
      </w:r>
      <w:r w:rsidR="00CC6C8C" w:rsidRPr="007C65CA">
        <w:rPr>
          <w:spacing w:val="2"/>
        </w:rPr>
        <w:t xml:space="preserve"> </w:t>
      </w:r>
      <w:r w:rsidRPr="007C65CA">
        <w:rPr>
          <w:spacing w:val="2"/>
        </w:rPr>
        <w:t>установление неопределенных, трудновыполнимых и обременительных требований к гражданам и организациям;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четкой регламентации прав граждан и организаций;</w:t>
      </w:r>
    </w:p>
    <w:p w:rsidR="00DB4A3E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юридико-лингвистическая неопределенность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употребление неустоявшихся, двусмысленных терминов и категорий оценочного характера.</w:t>
      </w:r>
    </w:p>
    <w:p w:rsidR="00CC6C8C" w:rsidRPr="007C65CA" w:rsidRDefault="00CC6C8C" w:rsidP="007C65CA">
      <w:pPr>
        <w:pStyle w:val="ConsPlusNormal"/>
        <w:ind w:firstLine="709"/>
        <w:jc w:val="both"/>
        <w:rPr>
          <w:spacing w:val="2"/>
        </w:rPr>
      </w:pPr>
    </w:p>
    <w:p w:rsidR="00C82C5C" w:rsidRDefault="00C82C5C" w:rsidP="00544FF6">
      <w:pPr>
        <w:pStyle w:val="ConsPlusNormal"/>
        <w:ind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2. </w:t>
      </w:r>
      <w:r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406054" w:rsidRPr="001D7187" w:rsidRDefault="00C20EAD" w:rsidP="00406054">
      <w:pPr>
        <w:pStyle w:val="ConsPlusNormal"/>
        <w:ind w:firstLine="709"/>
        <w:jc w:val="both"/>
      </w:pPr>
      <w:r>
        <w:rPr>
          <w:bCs/>
          <w:shd w:val="clear" w:color="auto" w:fill="FFFFFF"/>
        </w:rPr>
        <w:t xml:space="preserve">В соответствии </w:t>
      </w:r>
      <w:r w:rsidR="00D712EC">
        <w:rPr>
          <w:bCs/>
          <w:shd w:val="clear" w:color="auto" w:fill="FFFFFF"/>
        </w:rPr>
        <w:t xml:space="preserve">с </w:t>
      </w:r>
      <w:r>
        <w:t>Федеральным</w:t>
      </w:r>
      <w:r w:rsidRPr="001D7187">
        <w:t xml:space="preserve"> закон</w:t>
      </w:r>
      <w:r>
        <w:t>ом</w:t>
      </w:r>
      <w:r w:rsidRPr="001D7187">
        <w:t xml:space="preserve"> </w:t>
      </w:r>
      <w:r w:rsidRPr="0072709E">
        <w:t>от 25.12.2008 № 273-ФЗ «О противодействии коррупции»</w:t>
      </w:r>
      <w:r>
        <w:t>, п</w:t>
      </w:r>
      <w:r w:rsidR="00406054" w:rsidRPr="001D7187">
        <w:t xml:space="preserve">ротиводействие коррупции в </w:t>
      </w:r>
      <w:r>
        <w:t>РФ</w:t>
      </w:r>
      <w:r w:rsidR="00406054" w:rsidRPr="001D7187">
        <w:t xml:space="preserve"> основывается на следующих </w:t>
      </w:r>
      <w:r w:rsidR="00406054" w:rsidRPr="00C15071">
        <w:rPr>
          <w:u w:val="single"/>
        </w:rPr>
        <w:t>принципах</w:t>
      </w:r>
      <w:r w:rsidR="00406054" w:rsidRPr="001D7187">
        <w:t>: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1) признание, обеспечение и защита основных прав и свобод человека и гражданина;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2) законность;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3) публичность и открытость деятельности государственных органов и органов местного самоуправления;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4) неотвратимость ответственности за совершение коррупционных правонарушений;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6) приоритетное применение мер по предупреждению коррупции;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32EC1" w:rsidRPr="001D7187" w:rsidRDefault="00C20EAD" w:rsidP="00832EC1">
      <w:pPr>
        <w:pStyle w:val="ConsPlusNormal"/>
        <w:ind w:firstLine="709"/>
        <w:jc w:val="both"/>
      </w:pPr>
      <w:r>
        <w:t>О</w:t>
      </w:r>
      <w:r w:rsidR="00832EC1" w:rsidRPr="001D7187">
        <w:t xml:space="preserve">сновными </w:t>
      </w:r>
      <w:r w:rsidR="00832EC1" w:rsidRPr="00C566F0">
        <w:rPr>
          <w:u w:val="single"/>
        </w:rPr>
        <w:t>направлениями деятельности</w:t>
      </w:r>
      <w:r w:rsidR="00832EC1" w:rsidRPr="001D7187">
        <w:t xml:space="preserve"> государственных органов по повышению эффективности противодействия коррупции являются: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проведение единой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принятие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8) обеспечение независимости средств массовой информации;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9) неукоснительное соблюдение принципов независимости судей и невмешательства в судебную деятельность;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11) совершенствование порядка прохождения государственной и муниципальной службы;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13) устранение необоснованных запретов и ограничений, особенно в области экономической деятельности;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</w:t>
      </w:r>
      <w:r w:rsidR="003603EC">
        <w:t>твенной и муниципальной помощи)</w:t>
      </w:r>
      <w:r w:rsidRPr="001D7187">
        <w:t>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15) повышение уровня оплаты труда и социальной защищенности государственных и муниципальных служащих;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19) сокращение численности государственных и муниципальных служащих с одновременным привлечением на государственную и муниципальную службу</w:t>
      </w:r>
      <w:r w:rsidR="000206C8">
        <w:t xml:space="preserve"> квалифицированных специалистов – т.д.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Под </w:t>
      </w:r>
      <w:r w:rsidRPr="000206C8">
        <w:rPr>
          <w:b/>
        </w:rPr>
        <w:t>конфликтом интересов</w:t>
      </w:r>
      <w:r w:rsidRPr="001D7187">
        <w:t xml:space="preserve"> в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832EC1" w:rsidRPr="001D7187" w:rsidRDefault="000206C8" w:rsidP="00832EC1">
      <w:pPr>
        <w:pStyle w:val="ConsPlusNormal"/>
        <w:ind w:firstLine="709"/>
        <w:jc w:val="both"/>
      </w:pPr>
      <w:r>
        <w:t>При этом</w:t>
      </w:r>
      <w:r w:rsidR="00832EC1" w:rsidRPr="001D7187"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625CF">
        <w:t xml:space="preserve">самим служащим </w:t>
      </w:r>
      <w:r w:rsidR="00832EC1" w:rsidRPr="001D7187"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D625CF">
        <w:t>служащий</w:t>
      </w:r>
      <w:r w:rsidR="00832EC1" w:rsidRPr="001D7187"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Г</w:t>
      </w:r>
      <w:r w:rsidRPr="001D7187">
        <w:t xml:space="preserve">осударственный или муниципальный </w:t>
      </w:r>
      <w:r>
        <w:t>с</w:t>
      </w:r>
      <w:r w:rsidR="00E44552">
        <w:t>лужащий обязан</w:t>
      </w:r>
      <w:r w:rsidR="00832EC1" w:rsidRPr="001D7187">
        <w:t xml:space="preserve"> принимать меры по недопущению любой возможности возникновения конфликта интересов.</w:t>
      </w:r>
      <w:r w:rsidR="00E44552">
        <w:t xml:space="preserve"> </w:t>
      </w:r>
      <w:r w:rsidR="00832EC1" w:rsidRPr="001D7187">
        <w:t xml:space="preserve">Лицо обязано уведомить в порядке, определенном представителем нанимателя (работодателем) в соответствии с нормативными правовыми актами </w:t>
      </w:r>
      <w:r w:rsidR="00E44552">
        <w:t>РФ</w:t>
      </w:r>
      <w:r w:rsidR="00832EC1" w:rsidRPr="001D7187">
        <w:t>, о возникшем конфликте интересов или о возможности его возникновения, как только ему станет об этом известно.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или урегулирование конфликта интересов может состоять в </w:t>
      </w:r>
      <w:r w:rsidRPr="001D7187">
        <w:lastRenderedPageBreak/>
        <w:t xml:space="preserve">изменении должностного или служебного положения </w:t>
      </w:r>
      <w:r w:rsidR="00E44552">
        <w:t>служащего</w:t>
      </w:r>
      <w:r w:rsidRPr="001D7187"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 урегулирование конфликта интересов, стороной которого является </w:t>
      </w:r>
      <w:r w:rsidR="003E4084">
        <w:t>служащий</w:t>
      </w:r>
      <w:r w:rsidRPr="001D7187">
        <w:t xml:space="preserve">, осуществляются путем отвода или самоотвода указанного лица в случаях и порядке, предусмотренных законодательством </w:t>
      </w:r>
      <w:r w:rsidR="003E4084">
        <w:t>РФ</w:t>
      </w:r>
      <w:r w:rsidRPr="001D7187">
        <w:t>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Кроме того, г</w:t>
      </w:r>
      <w:r w:rsidR="00832EC1" w:rsidRPr="001D7187">
        <w:t>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C47EAA" w:rsidRDefault="00832EC1" w:rsidP="00832EC1">
      <w:pPr>
        <w:pStyle w:val="ConsPlusNormal"/>
        <w:ind w:firstLine="709"/>
        <w:jc w:val="both"/>
      </w:pPr>
      <w:r w:rsidRPr="001D7187">
        <w:t>Гражданин, замещавший должность государств</w:t>
      </w:r>
      <w:r w:rsidR="00881913">
        <w:t>енной или муниципальной службы</w:t>
      </w:r>
      <w:r w:rsidRPr="001D7187">
        <w:t>, в тече</w:t>
      </w:r>
      <w:r w:rsidR="00881913">
        <w:t xml:space="preserve">ние двух лет после увольнения со </w:t>
      </w:r>
      <w:r w:rsidRPr="001D7187">
        <w:t xml:space="preserve">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5709AE" w:rsidRDefault="00832EC1" w:rsidP="00832EC1">
      <w:pPr>
        <w:pStyle w:val="ConsPlusNormal"/>
        <w:ind w:firstLine="709"/>
        <w:jc w:val="both"/>
      </w:pPr>
      <w:r w:rsidRPr="001D7187">
        <w:t xml:space="preserve">В случае, если владение лицом, замещающим государственную должность </w:t>
      </w:r>
      <w:r w:rsidR="009E07C3">
        <w:t>РФ</w:t>
      </w:r>
      <w:r w:rsidRPr="001D7187">
        <w:t xml:space="preserve">, государственную должность субъекта </w:t>
      </w:r>
      <w:r w:rsidR="009E07C3">
        <w:t>РФ</w:t>
      </w:r>
      <w:r w:rsidRPr="001D7187">
        <w:t xml:space="preserve">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</w:t>
      </w:r>
      <w:r w:rsidR="009E07C3">
        <w:t>РФ</w:t>
      </w:r>
      <w:r w:rsidRPr="001D7187">
        <w:t xml:space="preserve">, Фонде социального страхования </w:t>
      </w:r>
      <w:r w:rsidR="009E07C3">
        <w:t>РФ</w:t>
      </w:r>
      <w:r w:rsidRPr="001D7187">
        <w:t xml:space="preserve">, Федеральном фонде обязательного медицинского страхования, </w:t>
      </w:r>
      <w:r w:rsidR="00EF0561">
        <w:t>Центральном банке РФ,</w:t>
      </w:r>
      <w:r w:rsidR="00EF0561" w:rsidRPr="001D7187">
        <w:t xml:space="preserve"> </w:t>
      </w:r>
      <w:r w:rsidRPr="001D7187">
        <w:t xml:space="preserve">иной организации, создаваемой </w:t>
      </w:r>
      <w:r w:rsidR="009E07C3">
        <w:t>РФ</w:t>
      </w:r>
      <w:r w:rsidRPr="001D7187">
        <w:t xml:space="preserve"> на основании федерального закона,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(доли, паи) в доверительное управление в соответствии с гражданским законодательством </w:t>
      </w:r>
      <w:r w:rsidR="00EF0561">
        <w:t>РФ</w:t>
      </w:r>
      <w:r w:rsidRPr="001D7187">
        <w:t xml:space="preserve">. </w:t>
      </w:r>
    </w:p>
    <w:p w:rsidR="0071664E" w:rsidRDefault="0071664E" w:rsidP="00832EC1">
      <w:pPr>
        <w:pStyle w:val="ConsPlusNormal"/>
        <w:ind w:firstLine="709"/>
        <w:jc w:val="both"/>
      </w:pPr>
    </w:p>
    <w:p w:rsidR="00A61A42" w:rsidRPr="001D7187" w:rsidRDefault="00A61A42" w:rsidP="00A61A42">
      <w:pPr>
        <w:pStyle w:val="ConsPlusNormal"/>
        <w:ind w:firstLine="709"/>
        <w:jc w:val="both"/>
      </w:pPr>
      <w:r>
        <w:rPr>
          <w:u w:val="single"/>
        </w:rPr>
        <w:t>П</w:t>
      </w:r>
      <w:r w:rsidRPr="00D46195">
        <w:rPr>
          <w:u w:val="single"/>
        </w:rPr>
        <w:t>рофилактика</w:t>
      </w:r>
      <w:r w:rsidRPr="00397D77">
        <w:rPr>
          <w:u w:val="single"/>
        </w:rPr>
        <w:t xml:space="preserve"> коррупции</w:t>
      </w:r>
      <w:r w:rsidRPr="001D7187">
        <w:t xml:space="preserve"> осуществляется путем применения следующих основных мер: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формирование в обществе нетерпимости к коррупционному поведению;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антикоррупционная экспертиза правовых актов и их проектов;</w:t>
      </w:r>
    </w:p>
    <w:p w:rsidR="00A61A42" w:rsidRPr="00651CAE" w:rsidRDefault="00A61A42" w:rsidP="00D171FB">
      <w:pPr>
        <w:pStyle w:val="ab"/>
        <w:numPr>
          <w:ilvl w:val="0"/>
          <w:numId w:val="22"/>
        </w:numPr>
        <w:tabs>
          <w:tab w:val="left" w:pos="851"/>
          <w:tab w:val="left" w:pos="1760"/>
        </w:tabs>
        <w:ind w:left="0" w:firstLine="709"/>
        <w:rPr>
          <w:sz w:val="24"/>
          <w:szCs w:val="24"/>
        </w:rPr>
      </w:pPr>
      <w:r w:rsidRPr="00651CAE">
        <w:rPr>
          <w:sz w:val="24"/>
          <w:szCs w:val="24"/>
        </w:rPr>
        <w:t>рассмотрение в органах власти,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установление в качестве основания для освобождения от замещаемой должности и (или) увольнения лица, замещающего должность государств</w:t>
      </w:r>
      <w:r>
        <w:t>енной или муниципальной службы</w:t>
      </w:r>
      <w:r w:rsidRPr="001D7187">
        <w:t xml:space="preserve">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</w:t>
      </w:r>
      <w:r w:rsidRPr="001D7187">
        <w:lastRenderedPageBreak/>
        <w:t xml:space="preserve">представления заведомо ложных </w:t>
      </w:r>
      <w:r>
        <w:t xml:space="preserve">аналогичных </w:t>
      </w:r>
      <w:r w:rsidRPr="001D7187">
        <w:t xml:space="preserve">сведений </w:t>
      </w:r>
      <w:r>
        <w:t>о супруге</w:t>
      </w:r>
      <w:r w:rsidRPr="001D7187">
        <w:t xml:space="preserve"> </w:t>
      </w:r>
      <w:r>
        <w:t>и несовершеннолетних детях</w:t>
      </w:r>
      <w:r w:rsidRPr="001D7187">
        <w:t>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832EC1" w:rsidRPr="00A61A42" w:rsidRDefault="00832EC1" w:rsidP="00832EC1">
      <w:pPr>
        <w:pStyle w:val="ConsPlusNormal"/>
        <w:ind w:firstLine="709"/>
        <w:jc w:val="both"/>
      </w:pPr>
      <w:r w:rsidRPr="001D7187">
        <w:t xml:space="preserve">Организации </w:t>
      </w:r>
      <w:r w:rsidR="00A61A42">
        <w:t xml:space="preserve">также </w:t>
      </w:r>
      <w:r w:rsidRPr="001D7187">
        <w:t xml:space="preserve">обязаны разрабатывать и принимать меры по </w:t>
      </w:r>
      <w:r w:rsidRPr="00A61A42">
        <w:t>предупреждению коррупции. Меры по предупреждению коррупции, принимаемые в организации, могут включать: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сотрудничество организации с правоохранительными органами;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принятие кодекса этики и служебного поведения работников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предотвращение и урегулирование конфликта интересов;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6) недопущение составления неофициальной отчетности и использования поддельных документов.</w:t>
      </w:r>
    </w:p>
    <w:p w:rsidR="00832EC1" w:rsidRPr="001D7187" w:rsidRDefault="00832EC1" w:rsidP="00832EC1">
      <w:pPr>
        <w:pStyle w:val="ConsPlusNormal"/>
        <w:ind w:firstLine="709"/>
        <w:jc w:val="both"/>
      </w:pPr>
    </w:p>
    <w:p w:rsidR="00406054" w:rsidRPr="007525C6" w:rsidRDefault="00406054" w:rsidP="0040605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>
        <w:rPr>
          <w:b/>
        </w:rPr>
        <w:t>Ответственность за коррупционные правонарушения</w:t>
      </w:r>
    </w:p>
    <w:p w:rsidR="003F2D83" w:rsidRPr="003F2D83" w:rsidRDefault="003F2D83" w:rsidP="003F2D8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2D83">
        <w:rPr>
          <w:rFonts w:ascii="Times New Roman" w:hAnsi="Times New Roman" w:cs="Times New Roman"/>
          <w:sz w:val="24"/>
          <w:szCs w:val="24"/>
        </w:rPr>
        <w:t>Законодательство РФ в сфере противодействия коррупции предусматривает ответственность физических и юридических лиц за коррупционные правонарушения.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 xml:space="preserve">Граждане Российской Федерации, иностранные граждане и лица без гражданства несут за совершение коррупционных правонарушений уголовную, административную, гражданско-правовую и дисциплинарную ответственность в соответствии с законодательством </w:t>
      </w:r>
      <w:r>
        <w:t xml:space="preserve">РФ. </w:t>
      </w:r>
      <w:r w:rsidRPr="001D7187">
        <w:t xml:space="preserve">Физическое лицо, совершившее коррупционное правонарушение, по решению суда может быть лишено в соответствии с законодательством </w:t>
      </w:r>
      <w:r>
        <w:t>РФ</w:t>
      </w:r>
      <w:r w:rsidRPr="001D7187">
        <w:t xml:space="preserve"> права занимать определенные должности государственной и муниципальной службы.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346A6" w:rsidRDefault="008346A6" w:rsidP="008346A6">
      <w:pPr>
        <w:pStyle w:val="ConsPlusNormal"/>
        <w:ind w:firstLine="709"/>
        <w:jc w:val="both"/>
      </w:pPr>
      <w:r w:rsidRPr="001D7187"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748AD" w:rsidRDefault="00A748AD" w:rsidP="008346A6">
      <w:pPr>
        <w:pStyle w:val="ConsPlusNormal"/>
        <w:ind w:firstLine="709"/>
        <w:jc w:val="both"/>
      </w:pPr>
    </w:p>
    <w:p w:rsidR="00510BAD" w:rsidRDefault="003F2D83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</w:t>
      </w:r>
      <w:r w:rsidRPr="00A748AD">
        <w:rPr>
          <w:rFonts w:ascii="Times New Roman" w:hAnsi="Times New Roman" w:cs="Times New Roman"/>
          <w:sz w:val="24"/>
          <w:szCs w:val="24"/>
          <w:u w:val="single"/>
        </w:rPr>
        <w:t>уголовную</w:t>
      </w:r>
      <w:r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преступления коррупционной направленности, является Уголовный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Pr="008346A6">
        <w:rPr>
          <w:rFonts w:ascii="Times New Roman" w:hAnsi="Times New Roman" w:cs="Times New Roman"/>
          <w:sz w:val="24"/>
          <w:szCs w:val="24"/>
        </w:rPr>
        <w:t>.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510BAD">
        <w:rPr>
          <w:rFonts w:ascii="Times New Roman" w:hAnsi="Times New Roman" w:cs="Times New Roman"/>
          <w:sz w:val="24"/>
          <w:szCs w:val="24"/>
        </w:rPr>
        <w:t>НПА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, устанавливающим </w:t>
      </w:r>
      <w:r w:rsidR="008346A6" w:rsidRPr="00A748AD">
        <w:rPr>
          <w:rFonts w:ascii="Times New Roman" w:hAnsi="Times New Roman" w:cs="Times New Roman"/>
          <w:sz w:val="24"/>
          <w:szCs w:val="24"/>
          <w:u w:val="single"/>
        </w:rPr>
        <w:t>административную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коррупционные правонарушения, является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</w:p>
    <w:p w:rsidR="008346A6" w:rsidRPr="008346A6" w:rsidRDefault="008346A6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>В настоящее время в КоАП РФ нет строгой систематизации составов административных правонарушений коррупционного характера. То есть КоАП РФ не содержит самостоятельной главы, в которую выделены административные правонарушения коррупционного характера.</w:t>
      </w:r>
      <w:r w:rsidR="00510BAD">
        <w:rPr>
          <w:rFonts w:ascii="Times New Roman" w:hAnsi="Times New Roman" w:cs="Times New Roman"/>
          <w:sz w:val="24"/>
          <w:szCs w:val="24"/>
        </w:rPr>
        <w:t xml:space="preserve"> </w:t>
      </w:r>
      <w:r w:rsidRPr="008346A6">
        <w:rPr>
          <w:rFonts w:ascii="Times New Roman" w:hAnsi="Times New Roman" w:cs="Times New Roman"/>
          <w:sz w:val="24"/>
          <w:szCs w:val="24"/>
        </w:rPr>
        <w:t>КоАП РФ содержит более 20 составов административных правонарушений коррупционного характера, среди которых, прежде всего, необходимо назвать следующие: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5.16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 xml:space="preserve">ст. 5.17 «Непредоставление или неопубликование отчета, сведений о поступлении </w:t>
      </w:r>
      <w:r w:rsidRPr="008346A6">
        <w:rPr>
          <w:sz w:val="24"/>
          <w:szCs w:val="24"/>
        </w:rPr>
        <w:lastRenderedPageBreak/>
        <w:t>и расходовании средств, выделенных на подготовку и проведение выборов,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5.18. «Незаконное использование денежных средств при финансировании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5.19. «Использование незаконной материальной поддержки при финансировании избирательной кампании, кампании референдума»;</w:t>
      </w:r>
    </w:p>
    <w:p w:rsidR="008346A6" w:rsidRPr="00C4600F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C4600F">
        <w:rPr>
          <w:sz w:val="24"/>
          <w:szCs w:val="24"/>
        </w:rPr>
        <w:t>ст. 5.20 «Незаконное финансирование избирательной кампании, кампании референдума, оказание запрещенной законом</w:t>
      </w:r>
      <w:r w:rsidR="00C4600F">
        <w:rPr>
          <w:sz w:val="24"/>
          <w:szCs w:val="24"/>
        </w:rPr>
        <w:t xml:space="preserve"> </w:t>
      </w:r>
      <w:r w:rsidRPr="00C4600F">
        <w:rPr>
          <w:sz w:val="24"/>
          <w:szCs w:val="24"/>
        </w:rPr>
        <w:t>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5.45 «Использование преимуществ должностного или служебного положения в период избирательной кампании, кампании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5.47 «Сбор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5.50 «Нарушение правил перечисления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средств,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внесенных в избирательный фонд, фонд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7.27 «Мелкое хищение» (в случае совершения соответствующего действия путем присвоения или растраты);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7.30 «Нарушение порядка осуществления закупок товаров, работ, услуг для обеспечения государственных и муниципальных нужд»;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14.9 «Ограничение конкуренции органами власти, органами местного самоуправления»;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15.14. «Нецелевое использование бюджетных средств и средств государственных внебюджетных фондов»;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15.21 «Неправомерное использование инсайдерской информации»;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19.28 «Незаконное вознаграждение от имени юридического лица»;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19.29 «Незаконное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служащего» и др.</w:t>
      </w:r>
    </w:p>
    <w:p w:rsidR="003F2D83" w:rsidRPr="0022494E" w:rsidRDefault="003F2D83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при совершении кор</w:t>
      </w:r>
      <w:r>
        <w:rPr>
          <w:rFonts w:ascii="Times New Roman" w:hAnsi="Times New Roman" w:cs="Times New Roman"/>
          <w:sz w:val="24"/>
          <w:szCs w:val="24"/>
        </w:rPr>
        <w:t>рупционного правонарушения причи</w:t>
      </w:r>
      <w:r w:rsidRPr="0022494E">
        <w:rPr>
          <w:rFonts w:ascii="Times New Roman" w:hAnsi="Times New Roman" w:cs="Times New Roman"/>
          <w:sz w:val="24"/>
          <w:szCs w:val="24"/>
        </w:rPr>
        <w:t xml:space="preserve">няется имущественный ущерб, то возникают </w:t>
      </w:r>
      <w:r w:rsidR="00A748AD" w:rsidRPr="00A748AD">
        <w:rPr>
          <w:rFonts w:ascii="Times New Roman" w:hAnsi="Times New Roman" w:cs="Times New Roman"/>
          <w:sz w:val="24"/>
          <w:szCs w:val="24"/>
          <w:u w:val="single"/>
        </w:rPr>
        <w:t>гражданско-правовые</w:t>
      </w:r>
      <w:r w:rsidR="00A748AD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деликтные обязательства (обязательства вследствие причинения вреда).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В частности, согласно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Так называемыми гражданскими коррупционными правонарушениями законодатель считает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ГК РФ.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Статья 575 ГК РФ «Запрещение дарения» содержит запрет на дарение, за исключением обычных подарков, стоимость которых не превышает трех тысяч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 родителей,  гражданами, находящимися в них на лечении, содержании или воспитании, супругами и родственниками этих граждан.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Подарки, полученные гражданским служащим в связи с протокольными мероприятиями, со служебными командировками и другими официальными </w:t>
      </w:r>
      <w:r w:rsidRPr="0022494E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мероприятиями, и стоимость которых не превышает трех  тысяч  рублей,  признаются  федеральной  собственностью  и собственностью субъекта </w:t>
      </w:r>
      <w:r w:rsidR="007F488F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Pr="0022494E">
        <w:rPr>
          <w:rFonts w:ascii="Times New Roman" w:hAnsi="Times New Roman" w:cs="Times New Roman"/>
          <w:sz w:val="24"/>
          <w:szCs w:val="24"/>
        </w:rPr>
        <w:t>и передаются гражданским служащим по акту в государственный орган, в котором  он замещает должность гражданской службы.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16EFB">
        <w:rPr>
          <w:rFonts w:ascii="Times New Roman" w:hAnsi="Times New Roman" w:cs="Times New Roman"/>
          <w:sz w:val="24"/>
          <w:szCs w:val="24"/>
          <w:u w:val="single"/>
        </w:rPr>
        <w:t>Дисциплинарными</w:t>
      </w:r>
      <w:r w:rsidRPr="0022494E">
        <w:rPr>
          <w:rFonts w:ascii="Times New Roman" w:hAnsi="Times New Roman" w:cs="Times New Roman"/>
          <w:sz w:val="24"/>
          <w:szCs w:val="24"/>
        </w:rPr>
        <w:t xml:space="preserve"> коррупционными проступками принято считать обладающие признаками коррупции и не являющиеся преступлениями или административными правонарушениями нарушения порядка исполнения лицом своих профессиональных обязанностей, за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которые нормативно-правовыми актами установлена дисциплинарная ответственность.</w:t>
      </w:r>
      <w:r w:rsidR="00787A65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Прежде всего, речь идет о нарушениях законодательных запретов, требований и ограничений, установленных для работников в  целях предупреждения коррупции.</w:t>
      </w:r>
    </w:p>
    <w:p w:rsidR="00787A65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Так, например, согласно ст. 81 ТК РФ трудовой договор может быть расторгнут работодателем в случаях</w:t>
      </w:r>
      <w:r w:rsidR="00787A65">
        <w:rPr>
          <w:rFonts w:ascii="Times New Roman" w:hAnsi="Times New Roman" w:cs="Times New Roman"/>
          <w:sz w:val="24"/>
          <w:szCs w:val="24"/>
        </w:rPr>
        <w:t>:</w:t>
      </w:r>
    </w:p>
    <w:p w:rsidR="00787A65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 непринятия работником мер по предотвращению или урегулированию конфликта интересов, стороной которого он является, </w:t>
      </w:r>
    </w:p>
    <w:p w:rsidR="0070139F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непредставления или представления неполных или недостоверных сведений о своих доходах, расходах, об имуществе и обязательства</w:t>
      </w:r>
      <w:r w:rsidR="0070139F">
        <w:rPr>
          <w:rFonts w:ascii="Times New Roman" w:hAnsi="Times New Roman" w:cs="Times New Roman"/>
          <w:sz w:val="24"/>
          <w:szCs w:val="24"/>
        </w:rPr>
        <w:t>х имущественного характера,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территории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7A65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Кодексом, другими федеральными законами, нормативными правовыми актами</w:t>
      </w:r>
      <w:r w:rsidR="00C27898">
        <w:rPr>
          <w:rFonts w:ascii="Times New Roman" w:hAnsi="Times New Roman" w:cs="Times New Roman"/>
          <w:sz w:val="24"/>
          <w:szCs w:val="24"/>
        </w:rPr>
        <w:t xml:space="preserve">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227FE8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и Правительства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указанные действия дают основание для утраты доверия к работнику со стороны работодателя.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 xml:space="preserve">Лицо, замещающее государственную должность </w:t>
      </w:r>
      <w:r w:rsidR="00227FE8" w:rsidRPr="0022494E">
        <w:t>РФ</w:t>
      </w:r>
      <w:r w:rsidRPr="001D7187">
        <w:t xml:space="preserve">, государственную должность субъекта </w:t>
      </w:r>
      <w:r w:rsidR="00227FE8" w:rsidRPr="0022494E">
        <w:t>РФ</w:t>
      </w:r>
      <w:r w:rsidRPr="001D7187">
        <w:t xml:space="preserve">, муниципальную должность, в порядке, предусмотренном федеральными конституционными законами, федеральными законами, законами субъектов </w:t>
      </w:r>
      <w:r w:rsidR="00227FE8" w:rsidRPr="0022494E">
        <w:t>РФ</w:t>
      </w:r>
      <w:r w:rsidRPr="001D7187">
        <w:t xml:space="preserve">, муниципальными нормативными правовыми актами, </w:t>
      </w:r>
      <w:r>
        <w:t>может быть уволено (освобождено</w:t>
      </w:r>
      <w:r w:rsidRPr="001D7187">
        <w:t xml:space="preserve"> от должно</w:t>
      </w:r>
      <w:r>
        <w:t>сти) в связи с утратой доверия.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</w:t>
      </w:r>
      <w:r>
        <w:t xml:space="preserve"> в связи с утратой доверия</w:t>
      </w:r>
      <w:r w:rsidRPr="001D7187">
        <w:t>, сроком на пять лет с момента принятия акта, явившегося основанием для включения в реестр.</w:t>
      </w:r>
      <w:r>
        <w:t xml:space="preserve"> </w:t>
      </w:r>
      <w:r w:rsidRPr="001D7187"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</w:t>
      </w:r>
      <w:r>
        <w:t>онно-телекоммуникационной сети «Интернет»</w:t>
      </w:r>
      <w:r w:rsidRPr="001D7187">
        <w:t>.</w:t>
      </w:r>
    </w:p>
    <w:p w:rsidR="009D3B61" w:rsidRPr="008346A6" w:rsidRDefault="0022494E" w:rsidP="00086190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</w:rPr>
      </w:pPr>
      <w:r w:rsidRPr="0022494E">
        <w:rPr>
          <w:rFonts w:ascii="Times New Roman" w:hAnsi="Times New Roman" w:cs="Times New Roman"/>
          <w:sz w:val="24"/>
          <w:szCs w:val="24"/>
        </w:rPr>
        <w:t>Трудовой договор с руководителем унитарного предприятия может б</w:t>
      </w:r>
      <w:r w:rsidR="00086190">
        <w:rPr>
          <w:rFonts w:ascii="Times New Roman" w:hAnsi="Times New Roman" w:cs="Times New Roman"/>
          <w:sz w:val="24"/>
          <w:szCs w:val="24"/>
        </w:rPr>
        <w:t xml:space="preserve">ыть расторгнут в соответствии со </w:t>
      </w:r>
      <w:r w:rsidRPr="0022494E">
        <w:rPr>
          <w:rFonts w:ascii="Times New Roman" w:hAnsi="Times New Roman" w:cs="Times New Roman"/>
          <w:sz w:val="24"/>
          <w:szCs w:val="24"/>
        </w:rPr>
        <w:t>ст. 278 ТК РФ «Дополнительные основания для прекращения трудового договора с руководителем организации» в связи с нарушением запретов,  установленных ст. 21 Федерального закона от 14 ноября 2002 г. №161-ФЗ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предприятиях».</w:t>
      </w:r>
    </w:p>
    <w:p w:rsidR="00C759B5" w:rsidRPr="008346A6" w:rsidRDefault="00C759B5" w:rsidP="008346A6">
      <w:pPr>
        <w:pStyle w:val="ConsPlusNormal"/>
        <w:tabs>
          <w:tab w:val="left" w:pos="851"/>
        </w:tabs>
        <w:ind w:firstLine="709"/>
        <w:jc w:val="both"/>
      </w:pPr>
    </w:p>
    <w:sectPr w:rsidR="00C759B5" w:rsidRPr="008346A6" w:rsidSect="003B3566">
      <w:footerReference w:type="default" r:id="rId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39" w:rsidRDefault="00850C39" w:rsidP="002A016A">
      <w:r>
        <w:separator/>
      </w:r>
    </w:p>
  </w:endnote>
  <w:endnote w:type="continuationSeparator" w:id="1">
    <w:p w:rsidR="00850C39" w:rsidRDefault="00850C39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63"/>
      <w:docPartObj>
        <w:docPartGallery w:val="Page Numbers (Bottom of Page)"/>
        <w:docPartUnique/>
      </w:docPartObj>
    </w:sdtPr>
    <w:sdtContent>
      <w:p w:rsidR="00C82C5C" w:rsidRDefault="005B78FE">
        <w:pPr>
          <w:pStyle w:val="a7"/>
          <w:jc w:val="right"/>
        </w:pPr>
        <w:fldSimple w:instr=" PAGE   \* MERGEFORMAT ">
          <w:r w:rsidR="003B3566">
            <w:rPr>
              <w:noProof/>
            </w:rPr>
            <w:t>2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39" w:rsidRDefault="00850C39" w:rsidP="002A016A">
      <w:r>
        <w:separator/>
      </w:r>
    </w:p>
  </w:footnote>
  <w:footnote w:type="continuationSeparator" w:id="1">
    <w:p w:rsidR="00850C39" w:rsidRDefault="00850C39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5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6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7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8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9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12A2C"/>
    <w:rsid w:val="000159B1"/>
    <w:rsid w:val="000206C8"/>
    <w:rsid w:val="0002464F"/>
    <w:rsid w:val="00035EFA"/>
    <w:rsid w:val="0004187C"/>
    <w:rsid w:val="000433E5"/>
    <w:rsid w:val="000504D3"/>
    <w:rsid w:val="000505A9"/>
    <w:rsid w:val="0005339D"/>
    <w:rsid w:val="00057A98"/>
    <w:rsid w:val="000610EE"/>
    <w:rsid w:val="0006733A"/>
    <w:rsid w:val="000703A7"/>
    <w:rsid w:val="00082ECD"/>
    <w:rsid w:val="0008371D"/>
    <w:rsid w:val="0008487B"/>
    <w:rsid w:val="00086190"/>
    <w:rsid w:val="00094A25"/>
    <w:rsid w:val="0009730B"/>
    <w:rsid w:val="000973D0"/>
    <w:rsid w:val="000B27A1"/>
    <w:rsid w:val="000B5A61"/>
    <w:rsid w:val="000B6BE0"/>
    <w:rsid w:val="000C09B1"/>
    <w:rsid w:val="000C32DC"/>
    <w:rsid w:val="000F0853"/>
    <w:rsid w:val="00124172"/>
    <w:rsid w:val="0012590E"/>
    <w:rsid w:val="00134E2F"/>
    <w:rsid w:val="001424E9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201C1F"/>
    <w:rsid w:val="00201F83"/>
    <w:rsid w:val="00217B10"/>
    <w:rsid w:val="0022494E"/>
    <w:rsid w:val="0022661B"/>
    <w:rsid w:val="00227FE8"/>
    <w:rsid w:val="00233590"/>
    <w:rsid w:val="00241BB2"/>
    <w:rsid w:val="00275AAF"/>
    <w:rsid w:val="00280D9C"/>
    <w:rsid w:val="00290D47"/>
    <w:rsid w:val="002A016A"/>
    <w:rsid w:val="002A32B5"/>
    <w:rsid w:val="002C4AE3"/>
    <w:rsid w:val="002D50A2"/>
    <w:rsid w:val="002E4243"/>
    <w:rsid w:val="002E6AD1"/>
    <w:rsid w:val="002F4379"/>
    <w:rsid w:val="002F559D"/>
    <w:rsid w:val="002F5C11"/>
    <w:rsid w:val="00316EFB"/>
    <w:rsid w:val="003213F6"/>
    <w:rsid w:val="00324BD1"/>
    <w:rsid w:val="00325A1C"/>
    <w:rsid w:val="0033450E"/>
    <w:rsid w:val="00336197"/>
    <w:rsid w:val="003416DE"/>
    <w:rsid w:val="00341CFF"/>
    <w:rsid w:val="00357D89"/>
    <w:rsid w:val="003603EC"/>
    <w:rsid w:val="00362075"/>
    <w:rsid w:val="0036438C"/>
    <w:rsid w:val="00375562"/>
    <w:rsid w:val="00396B96"/>
    <w:rsid w:val="00397D77"/>
    <w:rsid w:val="003B0EFE"/>
    <w:rsid w:val="003B3566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19F8"/>
    <w:rsid w:val="003F2D83"/>
    <w:rsid w:val="003F5B19"/>
    <w:rsid w:val="003F5CC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1A70"/>
    <w:rsid w:val="0046377C"/>
    <w:rsid w:val="00472BE7"/>
    <w:rsid w:val="00474A25"/>
    <w:rsid w:val="00474AC6"/>
    <w:rsid w:val="00480363"/>
    <w:rsid w:val="00483411"/>
    <w:rsid w:val="00484690"/>
    <w:rsid w:val="004A0F41"/>
    <w:rsid w:val="004A1B94"/>
    <w:rsid w:val="004A6085"/>
    <w:rsid w:val="004B1AED"/>
    <w:rsid w:val="004C1B0B"/>
    <w:rsid w:val="004C6009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41096"/>
    <w:rsid w:val="00541D29"/>
    <w:rsid w:val="00544FF6"/>
    <w:rsid w:val="00557305"/>
    <w:rsid w:val="00566BBA"/>
    <w:rsid w:val="005709AE"/>
    <w:rsid w:val="00570E02"/>
    <w:rsid w:val="0057373B"/>
    <w:rsid w:val="005741EF"/>
    <w:rsid w:val="00594941"/>
    <w:rsid w:val="00596378"/>
    <w:rsid w:val="005A5A49"/>
    <w:rsid w:val="005B5336"/>
    <w:rsid w:val="005B78FE"/>
    <w:rsid w:val="005C4C2D"/>
    <w:rsid w:val="005E2C8B"/>
    <w:rsid w:val="005E7702"/>
    <w:rsid w:val="005F09F9"/>
    <w:rsid w:val="005F3614"/>
    <w:rsid w:val="00602E38"/>
    <w:rsid w:val="00605934"/>
    <w:rsid w:val="00616083"/>
    <w:rsid w:val="00616FE7"/>
    <w:rsid w:val="00617201"/>
    <w:rsid w:val="00620257"/>
    <w:rsid w:val="006223F8"/>
    <w:rsid w:val="00623B42"/>
    <w:rsid w:val="00626892"/>
    <w:rsid w:val="0063282C"/>
    <w:rsid w:val="00651CAE"/>
    <w:rsid w:val="0068628F"/>
    <w:rsid w:val="00696959"/>
    <w:rsid w:val="006B2EE4"/>
    <w:rsid w:val="006B481D"/>
    <w:rsid w:val="006D1835"/>
    <w:rsid w:val="006E54FA"/>
    <w:rsid w:val="0070139F"/>
    <w:rsid w:val="00707043"/>
    <w:rsid w:val="007117A6"/>
    <w:rsid w:val="00711C16"/>
    <w:rsid w:val="0071664E"/>
    <w:rsid w:val="007249F6"/>
    <w:rsid w:val="00725724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A65"/>
    <w:rsid w:val="00787BB0"/>
    <w:rsid w:val="007933DA"/>
    <w:rsid w:val="0079753A"/>
    <w:rsid w:val="007A1E5C"/>
    <w:rsid w:val="007A6E69"/>
    <w:rsid w:val="007A7E2E"/>
    <w:rsid w:val="007B5A0E"/>
    <w:rsid w:val="007C65CA"/>
    <w:rsid w:val="007E6368"/>
    <w:rsid w:val="007F47D2"/>
    <w:rsid w:val="007F488F"/>
    <w:rsid w:val="007F73B9"/>
    <w:rsid w:val="008058E7"/>
    <w:rsid w:val="00806B87"/>
    <w:rsid w:val="008108D5"/>
    <w:rsid w:val="00812B97"/>
    <w:rsid w:val="00813A16"/>
    <w:rsid w:val="008204B1"/>
    <w:rsid w:val="0082249D"/>
    <w:rsid w:val="00832D74"/>
    <w:rsid w:val="00832EC1"/>
    <w:rsid w:val="008346A6"/>
    <w:rsid w:val="0084086F"/>
    <w:rsid w:val="0084429C"/>
    <w:rsid w:val="0084690A"/>
    <w:rsid w:val="00850B8F"/>
    <w:rsid w:val="00850C39"/>
    <w:rsid w:val="008625AA"/>
    <w:rsid w:val="00866E4C"/>
    <w:rsid w:val="00867298"/>
    <w:rsid w:val="008678E2"/>
    <w:rsid w:val="00881913"/>
    <w:rsid w:val="008A3834"/>
    <w:rsid w:val="008B0A7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6559"/>
    <w:rsid w:val="00963055"/>
    <w:rsid w:val="009805F7"/>
    <w:rsid w:val="0098194A"/>
    <w:rsid w:val="00983979"/>
    <w:rsid w:val="009A08AC"/>
    <w:rsid w:val="009A2362"/>
    <w:rsid w:val="009A2735"/>
    <w:rsid w:val="009A27A3"/>
    <w:rsid w:val="009B2E4E"/>
    <w:rsid w:val="009B538F"/>
    <w:rsid w:val="009B5C56"/>
    <w:rsid w:val="009C30C6"/>
    <w:rsid w:val="009D2882"/>
    <w:rsid w:val="009D3B61"/>
    <w:rsid w:val="009D6986"/>
    <w:rsid w:val="009D6E2D"/>
    <w:rsid w:val="009D77CF"/>
    <w:rsid w:val="009E07C3"/>
    <w:rsid w:val="009E6D1F"/>
    <w:rsid w:val="009F2BDC"/>
    <w:rsid w:val="00A0386E"/>
    <w:rsid w:val="00A101DE"/>
    <w:rsid w:val="00A14ADD"/>
    <w:rsid w:val="00A21D26"/>
    <w:rsid w:val="00A27AA5"/>
    <w:rsid w:val="00A36220"/>
    <w:rsid w:val="00A41C11"/>
    <w:rsid w:val="00A44CB6"/>
    <w:rsid w:val="00A44D32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B2B90"/>
    <w:rsid w:val="00AB3BC5"/>
    <w:rsid w:val="00AB5144"/>
    <w:rsid w:val="00AC5B75"/>
    <w:rsid w:val="00AC7E6C"/>
    <w:rsid w:val="00AE181F"/>
    <w:rsid w:val="00AE2AFD"/>
    <w:rsid w:val="00AE43A3"/>
    <w:rsid w:val="00AE70F1"/>
    <w:rsid w:val="00B145A6"/>
    <w:rsid w:val="00B2410D"/>
    <w:rsid w:val="00B33735"/>
    <w:rsid w:val="00B37A5E"/>
    <w:rsid w:val="00B60872"/>
    <w:rsid w:val="00B72E17"/>
    <w:rsid w:val="00B808FA"/>
    <w:rsid w:val="00B80963"/>
    <w:rsid w:val="00B84D02"/>
    <w:rsid w:val="00B86CB5"/>
    <w:rsid w:val="00B96316"/>
    <w:rsid w:val="00BA4043"/>
    <w:rsid w:val="00BB024B"/>
    <w:rsid w:val="00BB3D55"/>
    <w:rsid w:val="00BC516E"/>
    <w:rsid w:val="00BD345A"/>
    <w:rsid w:val="00BD5463"/>
    <w:rsid w:val="00BF0A8C"/>
    <w:rsid w:val="00BF3AB2"/>
    <w:rsid w:val="00C10825"/>
    <w:rsid w:val="00C15071"/>
    <w:rsid w:val="00C20EAD"/>
    <w:rsid w:val="00C23597"/>
    <w:rsid w:val="00C27898"/>
    <w:rsid w:val="00C326B7"/>
    <w:rsid w:val="00C4600F"/>
    <w:rsid w:val="00C46179"/>
    <w:rsid w:val="00C47EAA"/>
    <w:rsid w:val="00C566F0"/>
    <w:rsid w:val="00C6265B"/>
    <w:rsid w:val="00C6754D"/>
    <w:rsid w:val="00C759B5"/>
    <w:rsid w:val="00C82C5C"/>
    <w:rsid w:val="00C96672"/>
    <w:rsid w:val="00CA3CE1"/>
    <w:rsid w:val="00CA49FF"/>
    <w:rsid w:val="00CA7072"/>
    <w:rsid w:val="00CB1840"/>
    <w:rsid w:val="00CB5357"/>
    <w:rsid w:val="00CB5403"/>
    <w:rsid w:val="00CB5490"/>
    <w:rsid w:val="00CC457D"/>
    <w:rsid w:val="00CC6C8C"/>
    <w:rsid w:val="00CD5709"/>
    <w:rsid w:val="00CE0A64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527BA"/>
    <w:rsid w:val="00D625CF"/>
    <w:rsid w:val="00D62B8A"/>
    <w:rsid w:val="00D712EC"/>
    <w:rsid w:val="00D825CC"/>
    <w:rsid w:val="00D84513"/>
    <w:rsid w:val="00DA2D07"/>
    <w:rsid w:val="00DA2D32"/>
    <w:rsid w:val="00DB3443"/>
    <w:rsid w:val="00DB4A3E"/>
    <w:rsid w:val="00DC268A"/>
    <w:rsid w:val="00DE1456"/>
    <w:rsid w:val="00E01439"/>
    <w:rsid w:val="00E03A04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5BD4"/>
    <w:rsid w:val="00E8343E"/>
    <w:rsid w:val="00E84DDF"/>
    <w:rsid w:val="00E957E0"/>
    <w:rsid w:val="00E973F3"/>
    <w:rsid w:val="00EB6127"/>
    <w:rsid w:val="00EB6FD9"/>
    <w:rsid w:val="00EC19E8"/>
    <w:rsid w:val="00EC5021"/>
    <w:rsid w:val="00EC5BF6"/>
    <w:rsid w:val="00ED04DC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6004"/>
    <w:rsid w:val="00F65CB1"/>
    <w:rsid w:val="00F6712D"/>
    <w:rsid w:val="00F721D9"/>
    <w:rsid w:val="00F85D41"/>
    <w:rsid w:val="00FA23F1"/>
    <w:rsid w:val="00FA704D"/>
    <w:rsid w:val="00FA7CD3"/>
    <w:rsid w:val="00FB56A5"/>
    <w:rsid w:val="00FC7C8D"/>
    <w:rsid w:val="00FD0250"/>
    <w:rsid w:val="00FD11CC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2%D0%B5%D0%B4%D0%B5%D0%B2,_%D0%94%D0%BC%D0%B8%D1%82%D1%80%D0%B8%D0%B9_%D0%90%D0%BD%D0%B0%D1%82%D0%BE%D0%BB%D1%8C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7%D0%B8%D0%B4%D0%B5%D0%BD%D1%82_%D0%A0%D0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139</cp:revision>
  <dcterms:created xsi:type="dcterms:W3CDTF">2018-09-16T14:53:00Z</dcterms:created>
  <dcterms:modified xsi:type="dcterms:W3CDTF">2022-04-24T06:51:00Z</dcterms:modified>
</cp:coreProperties>
</file>